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334 vom 28. April 1982</w:t>
      </w:r>
    </w:p>
    <w:p>
      <w:r>
        <w:t>Bundesgericht (BGE), 1982-04-28, DE</w:t>
      </w:r>
    </w:p>
    <w:p>
      <w:r>
        <w:rPr>
          <w:b/>
        </w:rPr>
        <w:t xml:space="preserve">Quelle: </w:t>
      </w:r>
      <w:r>
        <w:t>https://mcp.opencaselaw.ch/entscheid/bge_108 IB 334</w:t>
      </w:r>
    </w:p>
    <w:p>
      <w:r>
        <w:t>FR: BGE 108 IB 334 du 28 avril 1982</w:t>
      </w:r>
    </w:p>
    <w:p>
      <w:r>
        <w:t>IT: BGE 108 IB 334 del 28 aprile 1982</w:t>
      </w:r>
    </w:p>
    <w:p>
      <w:pPr>
        <w:pStyle w:val="Heading2"/>
      </w:pPr>
      <w:r>
        <w:t>Regeste</w:t>
      </w:r>
    </w:p>
    <w:p>
      <w:r>
        <w:t>Regeste Art. 5 Abs. 2 RPG; Entschädigung bei Heimschlag. 1. Heimschlag als Folge der materiellen Enteignung. Rechtliche Qualifikation und deren Auswirkung auf die Berechnung der Entschädigung (E. 4). 2. Verjährung der Entschädigung aus materieller Enteignung (E. 5). 3. Berechnung der vollen Entschädigung (E. 6) und Verzinsung der Entschädigungsforderung (E. 7).</w:t>
      </w:r>
    </w:p>
    <w:p>
      <w:pPr>
        <w:pStyle w:val="Heading2"/>
      </w:pPr>
      <w:r>
        <w:t>Erwägungen</w:t>
      </w:r>
    </w:p>
    <w:p>
      <w:r>
        <w:rPr>
          <w:b/>
        </w:rPr>
        <w:t>E. 4</w:t>
      </w:r>
    </w:p>
    <w:p>
      <w:r>
        <w:t>a) Die "Chermatte" wurde 1964 abgesehen von einem kleineren Wohnzonenanteil hauptsächlich der Zone für öffentliche Bauten und Werke und zu einem geringeren Teil der Freihaltezone zugewiesen. 1977 wurde die Zone für öffentliche Bauten und Werke ausgedehnt; die Freihaltezone erhielt die neue Bezeichnung "Landschaftsschutzzone". Sowohl die Zone für öffentliche Bauten und Werke als auch die Freihalte- bzw. Landschaftsschutzzone bewirken im wesentlichen ein Bauverbot für private Bauten (Art. 23 Abs. 1 und 2 aBauG; Art. 24 Abs. 1 und 2 BauG; Art. 28 Abs. 2, Art. 30 Abs. 2 aBauR; Art. 34 Abs. 2, Art. 36 Abs. 2 BGE 108 Ib 334 S. 338 BauR). Da die "Chermatte" bei Inkrafttreten des Zonenplans 1964 Baulandcharakter hatte und bei Erlass des Zonenplans 1977 noch über rund 5000 m2 Wohnzonenfläche verfügte, kommen die Bauverbote beider Zonenarten nach der zutreffenden Auffassung des Verwaltungsgerichts einer Enteignung gleich. Die "Chermatte" ist somit seit 1964 zur Hauptsache und seit 1977 zu einem zusätzlichen Teil von einer materiellen Enteignung betroffen. Damit war die Voraussetzung für die Geltendmachung des Heimschlagsrechts erfüllt; nach Obwaldner Recht stellt nämlich das Heimschlagsrecht eine Folge der materiellen Enteignung dar, im Gegensatz etwa zum früheren Zürcher Baugesetz, das es als davon unabhängiges, selbständiges Institut ausgestaltet hat (vgl. Urteil Blaser und Lüthi gegen Staat Zürich vom 17. Februar 1982, veröffentlicht in ZBl 83/1982, S. 208). b) Dass die Grundeigentümer vom Gemeinwesen die Übernahme des belasteten Grundstücks verlangt haben, ändert nichts daran, dass eine materielle Enteignung vorliegt. Diese wird durch die Übernahme des Grundstücks durch das Gemeinwesen nicht in eine formelle Enteignung umgewandelt; sie wird lediglich durch eine formelle Enteignung ergänzt, soweit es um die Bewertung und Übernahme des bereits auf den Landwirtschaftswert reduzierten Grundstücks geht. Das Inkrafttreten der Eigentumsbeschränkung hat den Minderwert verursacht und die weitere Wertsteigerung als Bauland verhindert ( BGE 97 I 814 /815). c) Da das öffentliche Recht des Kantons Obwalden keine speziellen Regeln über die Berechnung der Heimschlagsentschädigung enthält, ist die volle Entschädigung im Sinne von Art. 5 Abs. 2 RPG nach der Methode zu ermitteln, die sich aus der zitierten Rechtsprechung ergibt. Demnach ist davon auszugehen, dass die materielle Enteignung in jenem Zeitpunkt stattfindet, in dem die Eigentumsbeschränkung formell in Rechtskraft erwächst. In diesem Moment verliert das belastete Land seinen vormaligen Wert;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 BGE 97 I 814 ; BGE 93 I 144 ). BGE 108 Ib 334 S. 339 Der Restwert, der dem Grundstück nach Inkrafttreten der Eigentumsbeschränkung verbleibt, macht die Preisänderung mit, die sich von diesem Zeitpunkt an für landwirtschaftlichen Boden ergeben.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w:t>
      </w:r>
    </w:p>
    <w:p>
      <w:r>
        <w:rPr>
          <w:b/>
        </w:rPr>
        <w:t>E. 5</w:t>
      </w:r>
    </w:p>
    <w:p>
      <w:r>
        <w:t>Mit Inkrafttreten des Zonenplans 1964 ist der grösste Teil der "Chermatte" von einem Verbot für private Bauten betroffen worden. Die Entschädigungsansprüche aus materieller Enteignung sind demnach zur Hauptsache am 1. April 1964 entstanden. Damit stellt sich vorweg die Frage, ob die Entschädigungsforderung der Grundeigentümer weitgehend verjährt sei. Die beschwerdeführenden Gemeinden erheben die Einrede der Verjährung ausdrücklich. a) Das in der Volksabstimmung vom 13. Juni 1976 abgelehnte Raumplanungsgesetz vom 4. Oktober 1974 (BBl 1974 II 816) schrieb in Art. 54 Abs. 2 für Entschädigungsforderungen aus materieller Enteignung eine bundesrechtliche Verjährungsfrist von 10 Jahren vor. Im geltenden Raumplanungsgesetz fehlt eine solche Bestimmung. Es ist daher grundsätzlich den Kantonen überlassen, die Verjährung zu regeln. Das öffentliche Recht des Kantons Obwalden enthält keine Verjährungsvorschrift, die unmittelbar oder analog auf Entschädigungsforderungen aus materieller Enteignung anwendbar wäre. Das bedeutet nicht, dass deshalb eine Verjährung überhaupt nicht eintrete. Die herrschende Lehre und die neuere Rechtsprechung nehmen vielmehr an, das Institut der Verjährung bestehe grundsätzlich nicht nur im privaten, sondern auch im öffentlichen Recht, und zwar selbst beim Schweigen des Gesetzgebers und sowohl hinsichtlich der Ansprüche des Gemeinwesens gegen den Privaten wie auch umgekehrt ( BGE 105 Ib 267 E. 3a, BGE 101 Ia 21 /22 E. 4a, je mit Verweisungen). Die Verjährbarkeit öffentlichrechtlicher Ansprüche gilt ohne Einschränkung auch für die Enteignungsentschädigung ( BGE 105 Ib 11 E. 3; BGE 101 Ib 285 /286 E. 5; BGE 97 I 627 /628). b) Es fragt sich, welche Frist für die Verjährung von Forderungen aus materieller Enteignung massgebend sei. Das Verwaltungsgericht nahm eine Verjährungsfrist von fünf Jahren an. Es stützte sich dabei unter Hinweis auf die bundesgerichtliche Rechtsprechung BGE 108 Ib 334 S. 340 ( BGE 105 Ib 14 ; BGE 101 Ib 285 E. 5a, b) auf eine analoge Anwendung von Art. 25 Abs. 3 des Bundesgesetzes über die Nationalstrassen vom 8. März 1960 (NSG) und Art. 44 Abs. 3 des Bundesgesetzes über die Luftfahrt vom 21. Dezember 1948 (LFG). Die vom Verwaltungsgericht angerufenen Normen und Urteile betreffen indessen die Verjährung von Forderungen aus öffentlichrechtlichen Eigentumsbeschränkungen, die Folgen eidgenössischer Sachplanungen darstellen. Daher war es in den genannten Fällen naheliegend und gerechtfertigt, Vorschriften aus dem gleichen bzw. verwandten Sachbereich des Bundesrechts für die Fristberechnung heranzuziehen. Sie dienten der Lückenfüllung in Spezialgebieten, die im übrigen sehr detailliert geregelt sind. Dagegen eignen sich die Bestimmungen von Art. 25 Abs. 3 NSG und Art. 44 Abs. 3 LFG nicht, analog auf die Verjährung von Forderungen aus materieller Enteignung angewendet zu werden, die eine Folge kommunaler Zonenplanung darstellen. Eine Frist von fünf Jahren erscheint für solche Fälle bei Schweigen des Gesetzes als zu kurz. Es darf nicht übersehen werden, dass die Verjährungsregelung nicht nur auf unterschiedliche Situationen anwendbar sein muss, sondern sich die betroffenen Grundeigentümer auch häufig bei Planerlass über die Folgen der ihnen auferlegten Eigentumsbeschränkungen noch keine Rechenschaft geben. Anders als bei Entschädigungen, die für die Beeinträchtigung durch den Betrieb eines öffentlichen Werks zu entrichten sind, liegt auf dem Gebiet der Raumplanung eine kurz bemessene Verjährungsfrist auch nicht unbedingt im Interesse des Gemeinwesens. Die gleichzeitige Erfüllung einer Vielzahl von Entschädigungsansprüchen kann Finanzierungsschwierigkeiten nach sich ziehen, die möglicherweise nicht eintreten, wenn sich die Anmeldung der Forderungen über einen längeren Zeitraum erstreckt. Auf der andern Seite steht der Annahme einer zu langen Verjährungsfrist das öffentliche Interesse an der Rechtssicherheit entgegen ( BGE 101 Ia 21 /22 mit Hinweisen). Demzufolge ist beim Fehlen einer Gesetzesvorschrift für Entschädigungsforderungen aus materieller Enteignung als Folge von Zonenplänen eine Verjährungsfrist von zehn Jahren anzunehmen. Damit wird die bisher vom Bundesgericht vertretene Auffassung bestätigt ( BGE 97 I 627 /628 mit Verweisungen). Sie deckt sich auch mit der Fristenregelung, die einzelne Kantone ausdrücklich festgelegt haben (z.B.: Zürich, § 183ter EG ZGB; Basel-Stadt, § 4c des Anhangs zum Hochbautengesetz). c) Beim eingangs genannten Fristbeginn am 1. April 1964 wäre BGE 108 Ib 334 S. 341 demnach die Entschädigungsforderung der Grundeigentümer zu einem grossen Teil am 1. April 1974 verjährt gewesen. Das Übernahmebegehren wurde erst 1975 gestellt. Indessen ist den privaten Beschwerdeführern zugutezuhalten, dass zur Zeit der Entstehung des Entschädigungsanspruchs jedenfalls in den Kantonen noch unklar war, ob Forderungen des öffentlichen Rechts und namentlich solche aus materieller Enteignung bei Fehlen einer ausdrücklichen Bestimmung überhaupt verjährten. So hat etwa das Verwaltungsgericht des Kantons Bern seine Praxis der Unverjährbarkeit solcher Forderungen erst im Jahre 1970 aufgegeben (ZBl 72/1971, S. 330/331). Sodann trat das frühere Baugesetz des Kantons Obwalden, das die Entschädigungspflicht für enteignungsähnliche Bauverbote erstmals klar anordnete, am 16. Mai 1965 in Kraft. Unter diesen Umständen konnte der Beginn der Verjährungsfrist im Zeitpunkt des Inkrafttretens der Eigentumsbeschränkung - 1. April 1964 - für die privaten Beschwerdeführer nicht klar erkennbar sein. Zudem musste sie der Hinweis im Schreiben des Gemeinderates vom 19. Januar 1972, es bestehe für sie trotz der beabsichtigten Erweiterung der Zone für öffentliche Bauten und Werke kein Grund zur Beunruhigung, in ihrem Vertrauen auf den Fortbestand ihrer Entschädigungsforderung bestärken. Unter diesen Umständen kann nicht angenommen werden, der Anspruch sei bereits verjährt gewesen, als die Beschwerdeführer am 8. Januar 1975 das Übernahmebegehren stellten.</w:t>
      </w:r>
    </w:p>
    <w:p>
      <w:r>
        <w:rPr>
          <w:b/>
        </w:rPr>
        <w:t>E. 6</w:t>
      </w:r>
    </w:p>
    <w:p>
      <w:r>
        <w:t>Zu prüfen ist, ob das angefochtene Urteil des Verwaltungsgerichts dem Erfordernis der vollen Entschädigung gemäss Art. 5 Abs. 2 RPG entspricht. a) Das Verwaltungsgericht legte die enteignungsrechtlich begründete Zweiteilung der Heimschlagsentschädigung insoweit seinem Entscheid zugrunde, als es die Entschädigungsfrage für den nördlichen Teil der 1964 festgelegten Freihaltezone beurteilte. Es nahm einerseits an, dass 1964 eine Forderung aus materieller Enteignung entstanden sei, erachtete diese aber als verjährt. Da die Verjährung dieses Anspruchs entgegen der Auffassung des Verwaltungsgerichts nicht eingetreten ist (E. 5c), wird er anhand des Landwerts von 1964 neu zu schätzen sein. Der vom Verwaltungsgericht eingeschlagene Weg entspricht aber im Grundsatz Art. 5 Abs. 2 RPG . Anderseits bejahte das Gericht einen Entschädigungsanspruch für den landwirtschaftlichen Restlandwert nach den Grundsätzen BGE 108 Ib 334 S. 342 der formellen Enteignung. Dabei übernahm es den von der Schatzungskommission ermittelten Preis von Fr. 1.50/m2. Diese Schätzung erscheint indessen zu tief. Sie mag zwar dem landwirtschaftlichen Ertragswert entsprechen, wird aber dem Verkehrswert, der auch für landwirtschaftlichen Boden in den letzten Jahrzehnten eine beträchtliche Steigerung erfahren hat, nicht gerecht (vgl. nicht veröffentlichtes Urteil vom 16. Dezember 1981 i.S. BLS c. Burgergemeinde Ferden; vgl. auch PETER WIEDERKEHR, Die Expropriationsentschädigung, Diss. Zürich 1966, S. 32 unten). Sie erreicht den Anspruch der vollen Entschädigung nicht und verstösst somit gegen Art. 5 Abs. 2 RPG . Insoweit ist die Beschwerde der Grundeigentümer begründet. Der Restlandwert wird demzufolge neu zu bestimmen sein. b) In bezug auf die 1964 beschlossene Zone für öffentliche Bauten und Werke folgte das Verwaltungsgericht dem System der Zweiteilung des Entschädigungsanspruchs indessen nicht mehr. In gleicher Weise behandelte es jene Fläche, um welche diese Zone 1977 zu Lasten der 1964 geschaffenen Wohnzone ausgedehnt worden war. In Anlehnung an die deutsche Lehre und Rechtsprechung (vgl. BGHZ 50, 93 ff. = NJW 1968, S. 1278/1279) fasste es das durch die Zone für öffentliche Bauten und Werke bewirkte Bauverbot für Privatbauten als Vorwirkung der späteren Enteignung auf. Das Inkrafttreten der Beschränkung erachtete es nur insoweit als bedeutsam, als die vormalige Qualität des betroffenen Grundstücks auf diesen Zeitpunkt zu ermitteln sei. Für die Berechnung der Entschädigung dagegen stellte das Gericht einheitlich auf den mutmasslichen Landwert ab, den das Grundstück im Zeitpunkt des Entscheids der Schatzungskommission gehabt hätte, wenn es von der Eigentumsbeschränkung gar nicht betroffen worden wäre. Dieses System begünstigt den abwartenden Heimschlagsberechtigten zum Nachteil des Gemeinwesens. Seit 1964 sind die Baulandpreise gestiegen. Indem das Verwaltungsgericht für die Ermittlung der Entschädigung gesamthaft und damit auch für den Anspruch aus materieller Enteignung auf den Tag der Schätzung - 9. Oktober 1979 - abstellte, hat es den Grundeigentümern jedenfalls in bezug auf die 1964 belastete Fläche mehr zugesprochen, als ihnen nach Art. 5 Abs. 2 RPG zusteht. Insoweit hat es Bundesrecht verletzt, weshalb die Beschwerde des entschädigungspflichtigen Gemeinwesens in diesem Punkt begründet ist. Die Heimschlagsentschädigung wird daher in der vorstehend unter lit. a beschriebenen Weise festzusetzen sein. BGE 108 Ib 334 S. 343 Grundsätzlich analog zu beurteilen ist die Entschädigung hinsichtlich der 1977 zu Lasten der Wohnzone ausgedehnten Zone für öffentliche Bauten und Werke. Indessen ist in bezug auf diese Fläche festzustellen, dass der Tag des Inkrafttretens des Zonenplans (17. Mai 1977) und das Schätzungsdatum (9. Oktober 1979) verhältnismässig nahe beieinanderliegen. Wenn in dieser Zeitspanne keine Änderung der Preise für Landwirtschaftsland eingetreten ist, wäre es mit Art. 5 Abs. 2 RPG vereinbar gewesen, die Heimschlagsentschädigung einheitlich auf das Datum des Inkrafttretens der Eigentumsbeschränkung zu ermitteln. Im Blick auf eine Neuschätzung des Restlandwerts wäre heute eine einheitliche Schätzung wohl nur noch zulässig, wenn ein gewisser Ausgleich bei der Verzinsung des Gesamtbetrags geschaffen würde (vgl. E. 7). c) Die Parteien sind der übereinstimmenden Ansicht, dass der südliche Teil der 1964 der Freihaltezone zugewiesene Fläche als sogenanntes Vorgartenland aufgefasst werden kann. Für das Bundesgericht besteht daher kein Anlass, diese Qualifikation als solche zu überprüfen. Was dagegen die Höhe der Entschädigung für diese Fläche betrifft, so ist festzustellen, dass der Grundstücksteil die Eigenschaft als Vorgartenland erst verloren hat, als er gemäss Zonenplan 1977 von der angrenzenden Wohnzone getrennt wurde. Bewertungsstichtag ist daher das Inkrafttreten des geltenden Zonenplans. Nur wenn der vom Verwaltungsgericht gegenüber der Bewertung der Schatzungskommission um die Hälfte herabgesetzten Preis von Fr. 40.--/m2 dem Landwert am Bewertungsstichtag entspricht, ist er mit Art. 5 Abs. 2 RPG vereinbar. Für das Vorgehen ist auf die bereits festgehaltenen Ausführungen zu verweisen (lit. b, am Ende). d) Gegen die Schätzung der 170 m2 umfassenden Teilfläche des Cherwegs zu Fr. 20.--/m2 erheben die Parteien keinerlei Einwände. Es erübrigt sich daher, die Richtigkeit dieser Bewertung zu überprüfen.</w:t>
      </w:r>
    </w:p>
    <w:p>
      <w:r>
        <w:rPr>
          <w:b/>
        </w:rPr>
        <w:t>E. 7</w:t>
      </w:r>
    </w:p>
    <w:p>
      <w:r>
        <w:t>Mit dem angefochtenen Urteil wurde die Dorfschaftsgemeinde Sarnen verpflichtet, die Entschädigungsforderung der Grundeigentümer ab 13. September 1977, dem Tag der Geltendmachung, zu verzinsen. In analoger Anwendung von Art. 18 Abs. 2 des Zwangsenteignungsgesetzes des Kantons Obwalden vom 9. April 1877 (ZEntG) nahm das Verwaltungsgericht einen Zinsfuss von 5% an. a) Die beschwerdeführenden Gemeinden verlangen eine variable Verzinsung zum jeweiligen Hypothekarzinsfuss der Obwaldner BGE 108 Ib 334 S. 344 Kantonalbank. Sie berufen sich dabei auf ein Urteil des Bundesgerichts, in dem der Hypothekarzinsfuss für Entschädigungen aus materieller Enteignung als sachlich richtig bezeichnet worden ist ( BGE 97 I 352 ). Es ist zu prüfen, ob die vom Verwaltungsgericht in Ermangelung einer gesetzlichen Regelung getroffene Lösung mit dem Grundsatz der vollen Entschädigung gemäss Art. 5 Abs. 2 RPG im Einklang steht. In Ermangelung einer bundesrechtlichen Regelung ist der vom Verwaltungsgericht in Anlehnung an Art. 18 Abs. 2 ZEntG einheitlich angenommene Zinsfuss von 5% nicht zu beanstanden. In einem kantonalen Verfahren, das sich nach kantonalem Enteignungsrecht abwickelt, besteht kein Anlass, den "üblichen Zinsfuss" im Sinne von Art. 76 Abs. 5 beziehungsweise Art. 19bis Abs. 4 des Bundesgesetzes über die Enteignung vom 20. Juni 1930 anzuwenden. b) Für den Beginn der Verzinsungspflicht gilt folgendes: Für die Grundstücksfläche, die am 1. April 1964 der Freihaltezone und der Zone für öffentliche Bauten und Werke zugewiesen wurde, ist der Anspruch auf Entschädigung aus materieller Enteignung zwar an jenem Tag entstanden (E. 6a, b), das Übernahmebegehren aber erst am 8. Januar 1975 gestellt worden. Dem Grundsatz der vollen Entschädigung im Sinne von Art. 5 Abs. 2 RPG genügt es, wenn die Entschädigung von diesem Zeitpunkt an verzinst wird, in dem sie erstmals in unverkennbarer Weise gegenüber dem Gemeinwesen geltend gemacht worden ist (vgl. BGE 97 I 818 E. 3a). Der geltende Zonenplan der Dorfschaftsgemeinde Sarnen trat am 17. Mai 1977 in Kraft. Danach wurde nebst einer für die Grundeigentümer unwesentlichen Änderung der Zonenart im Westen des Grundstücks ein Anteil der bisher in der Wohnzone gelegenen Parzellenfläche neu der Zone für öffentliche Bauten und Anlagen zugewiesen. Die hiefür aus materieller Enteignung entstandene Forderung ist in jenem Zeitpunkt entstanden (E. 6b). Von da ab ist die Entschädigung auch zu verzinsen, da die bisherigen Verkaufsverhandlungen einer Anmeldung der Forderung gleichzusetzen sind. Dasselbe gilt für den vom Verwaltungsgericht als Vorgartenland bezeichneten Flächenanteil, der diese Eigenart erst verloren hat, als er durch die Ausdehnung der Zone für öffentliche Bauten und Werke von der Wohnzone abgetrennt wurde (E. 6c). Für die Übernahme des Landes, das seinen Baulandwert durch BGE 108 Ib 334 S. 345 die Zonenzuweisungen vom 1. April 1964 und vom 17. Mai 1977 verloren hat, ist der landwirtschaftliche Restwert nach den Grundsätzen der formellen Enteignung zu entschädigen (E. 6a). Danach stellt die Entschädigung im Gegensatz zu jener aus materieller Enteignung eine Voraussetzung und nicht eine Folge der Enteignung dar. Der Enteigner kann daher die Eigentumsübertragung erst verlangen, nachdem er die Entschädigung bezahlt hat. Damit stellt sich die Frage der Verzinsung von vornherein nicht. Nur im Fall der vorzeitigen Besitzeseinweisung verlangt der Grundsatz der vollen Entschädigung, dass die Entschädigungssumme verzinst wird. So sieht denn auch Art. 18 Abs. 2 ZEntG die Verzinsung zu 5% für diesen Fall vor.</w:t>
      </w:r>
    </w:p>
    <w:p>
      <w:r>
        <w:rPr>
          <w:b/>
        </w:rPr>
        <w:t>E. 8</w:t>
      </w:r>
    </w:p>
    <w:p>
      <w:r>
        <w:t>Beide Beschwerden erweisen sich somit als teilweise begründet. Das angefochtene Urteil ist aufzuheben, und die Sache ist zum neuen Entscheid im Sinne der Erwägungen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